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D8712" w14:textId="77777777" w:rsidR="00A50297" w:rsidRDefault="00A50297" w:rsidP="00A50297">
      <w:r>
        <w:t>Til klubber og kretser</w:t>
      </w:r>
    </w:p>
    <w:p w14:paraId="6133BBB7" w14:textId="77777777" w:rsidR="00A50297" w:rsidRDefault="00A50297" w:rsidP="00A50297"/>
    <w:p w14:paraId="18B55731" w14:textId="77777777" w:rsidR="00A50297" w:rsidRDefault="00A50297" w:rsidP="00A50297">
      <w:r>
        <w:t>Forbundstinget 2020 måtte dessverre utsettes grunnet korona-pandemien, men slik det ser ut nå (om det ikke skjer smitteforandringer) vil det bli avviklet på en tilfredsstillende måte lørdag 4. og søndag 5. september på THON Arena hotel, Lillestrøm. Selve forbundstinget vil starte lørdag kl. 1</w:t>
      </w:r>
      <w:r>
        <w:t>5</w:t>
      </w:r>
      <w:r>
        <w:t>.00., men i forkant av det vil det som vanlig bli arrangert Ledermøte med start fredag 4. september kl. 17.00. og avslutning lørdag 5. september kl. 13.00.</w:t>
      </w:r>
    </w:p>
    <w:p w14:paraId="7FDEA201" w14:textId="77777777" w:rsidR="00A50297" w:rsidRDefault="00A50297" w:rsidP="00A50297">
      <w:r>
        <w:t xml:space="preserve">Det vises også til e-post sendt klubber og kretser 15. juni hvor </w:t>
      </w:r>
      <w:r>
        <w:t>Strategiplan og Virksomhetsplan samt de forslag til endringer som forbundsstyret foreslår i Turneringsreglementet</w:t>
      </w:r>
      <w:r>
        <w:t xml:space="preserve"> ble sendt</w:t>
      </w:r>
      <w:r>
        <w:t xml:space="preserve">. Vi har også lagt ved programmet for Ledermøtet. </w:t>
      </w:r>
    </w:p>
    <w:p w14:paraId="1AF9EAD7" w14:textId="77777777" w:rsidR="00A50297" w:rsidRDefault="00A50297" w:rsidP="00A50297">
      <w:pPr>
        <w:rPr>
          <w:b/>
          <w:bCs/>
          <w:sz w:val="24"/>
          <w:szCs w:val="24"/>
        </w:rPr>
      </w:pPr>
    </w:p>
    <w:p w14:paraId="00B2F1EE" w14:textId="77777777" w:rsidR="00A50297" w:rsidRDefault="00A50297" w:rsidP="00A50297">
      <w:pPr>
        <w:rPr>
          <w:b/>
          <w:bCs/>
          <w:sz w:val="24"/>
          <w:szCs w:val="24"/>
        </w:rPr>
      </w:pPr>
      <w:r>
        <w:rPr>
          <w:b/>
          <w:bCs/>
          <w:sz w:val="24"/>
          <w:szCs w:val="24"/>
        </w:rPr>
        <w:t>Forbundsstyret</w:t>
      </w:r>
    </w:p>
    <w:p w14:paraId="6BF7F74C" w14:textId="77777777" w:rsidR="00A50297" w:rsidRDefault="00A50297" w:rsidP="00A50297">
      <w:pPr>
        <w:rPr>
          <w:sz w:val="24"/>
          <w:szCs w:val="24"/>
        </w:rPr>
      </w:pPr>
      <w:r>
        <w:rPr>
          <w:sz w:val="24"/>
          <w:szCs w:val="24"/>
        </w:rPr>
        <w:t>---------------------------------------------------------------------------------------------------------------</w:t>
      </w:r>
    </w:p>
    <w:p w14:paraId="22D71586" w14:textId="77777777" w:rsidR="00A50297" w:rsidRDefault="00A50297" w:rsidP="00A50297">
      <w:pPr>
        <w:rPr>
          <w:sz w:val="24"/>
          <w:szCs w:val="24"/>
        </w:rPr>
      </w:pPr>
    </w:p>
    <w:p w14:paraId="30617EE3" w14:textId="77777777" w:rsidR="00A50297" w:rsidRDefault="00A50297" w:rsidP="00A50297">
      <w:pPr>
        <w:rPr>
          <w:b/>
          <w:bCs/>
          <w:sz w:val="24"/>
          <w:szCs w:val="24"/>
        </w:rPr>
      </w:pPr>
      <w:r>
        <w:rPr>
          <w:b/>
          <w:bCs/>
          <w:sz w:val="24"/>
          <w:szCs w:val="24"/>
        </w:rPr>
        <w:t>FORBUNDSTINGET 2020</w:t>
      </w:r>
    </w:p>
    <w:p w14:paraId="274D8FB3" w14:textId="77777777" w:rsidR="00A50297" w:rsidRDefault="00A50297" w:rsidP="00A50297">
      <w:pPr>
        <w:rPr>
          <w:b/>
          <w:bCs/>
          <w:sz w:val="24"/>
          <w:szCs w:val="24"/>
        </w:rPr>
      </w:pPr>
      <w:r>
        <w:rPr>
          <w:b/>
          <w:bCs/>
          <w:sz w:val="24"/>
          <w:szCs w:val="24"/>
        </w:rPr>
        <w:t>VALG</w:t>
      </w:r>
    </w:p>
    <w:p w14:paraId="658E9992" w14:textId="77777777" w:rsidR="00A50297" w:rsidRDefault="00A50297" w:rsidP="00A50297">
      <w:pPr>
        <w:rPr>
          <w:b/>
          <w:bCs/>
          <w:sz w:val="24"/>
          <w:szCs w:val="24"/>
        </w:rPr>
      </w:pPr>
    </w:p>
    <w:p w14:paraId="2AA6642F" w14:textId="77777777" w:rsidR="00A50297" w:rsidRDefault="00A50297" w:rsidP="00A50297">
      <w:pPr>
        <w:rPr>
          <w:b/>
          <w:bCs/>
          <w:u w:val="single"/>
        </w:rPr>
      </w:pPr>
      <w:r>
        <w:rPr>
          <w:b/>
          <w:bCs/>
          <w:u w:val="single"/>
        </w:rPr>
        <w:t>Forbundstinget</w:t>
      </w:r>
    </w:p>
    <w:p w14:paraId="4C5E395D" w14:textId="77777777" w:rsidR="00A50297" w:rsidRDefault="00A50297" w:rsidP="00A50297">
      <w:pPr>
        <w:rPr>
          <w:b/>
          <w:bCs/>
          <w:u w:val="single"/>
        </w:rPr>
      </w:pPr>
    </w:p>
    <w:p w14:paraId="55CB79E7" w14:textId="77777777" w:rsidR="00A50297" w:rsidRDefault="00A50297" w:rsidP="00A50297">
      <w:pPr>
        <w:rPr>
          <w:sz w:val="20"/>
          <w:szCs w:val="20"/>
        </w:rPr>
      </w:pPr>
      <w:r>
        <w:t>Forbundstinget 2020 vil bli avholdt på THON Hotel Arena, Lillestrøm 5. og 6. september 2020.</w:t>
      </w:r>
    </w:p>
    <w:p w14:paraId="7A1079F1" w14:textId="77777777" w:rsidR="00A50297" w:rsidRDefault="00A50297" w:rsidP="00A50297"/>
    <w:p w14:paraId="65230963" w14:textId="77777777" w:rsidR="00A50297" w:rsidRDefault="00A50297" w:rsidP="00A50297">
      <w:pPr>
        <w:rPr>
          <w:u w:val="single"/>
        </w:rPr>
      </w:pPr>
    </w:p>
    <w:p w14:paraId="0C2BF81B" w14:textId="77777777" w:rsidR="00A50297" w:rsidRDefault="00A50297" w:rsidP="00A50297">
      <w:r>
        <w:t xml:space="preserve">Saksliste vil bli sendt klubber og kretser, samt lagt ut på </w:t>
      </w:r>
      <w:proofErr w:type="spellStart"/>
      <w:r>
        <w:t>NBFs</w:t>
      </w:r>
      <w:proofErr w:type="spellEnd"/>
      <w:r>
        <w:t xml:space="preserve"> hjemmeside to uker før Forbundstinget avholdes, men deler av det forbundsstyret ønsker å legge frem er vedlagt denne e-posten.</w:t>
      </w:r>
    </w:p>
    <w:p w14:paraId="0DD9CED2" w14:textId="77777777" w:rsidR="00A50297" w:rsidRDefault="00A50297" w:rsidP="00A50297"/>
    <w:p w14:paraId="77E00BCD" w14:textId="77777777" w:rsidR="00A50297" w:rsidRDefault="00A50297" w:rsidP="00A50297">
      <w:pPr>
        <w:rPr>
          <w:u w:val="single"/>
        </w:rPr>
      </w:pPr>
      <w:r>
        <w:rPr>
          <w:u w:val="single"/>
        </w:rPr>
        <w:t>Representasjon</w:t>
      </w:r>
    </w:p>
    <w:p w14:paraId="6931BC8B" w14:textId="77777777" w:rsidR="00A50297" w:rsidRDefault="00A50297" w:rsidP="00A50297">
      <w:r>
        <w:t xml:space="preserve">Klubbene sender sine representanter i forhold til sitt medlemstall (idrettsregistreringen) pr.1. januar 2020 </w:t>
      </w:r>
      <w:proofErr w:type="gramStart"/>
      <w:r>
        <w:t>således</w:t>
      </w:r>
      <w:proofErr w:type="gramEnd"/>
      <w:r>
        <w:t>:</w:t>
      </w:r>
    </w:p>
    <w:p w14:paraId="341B111D" w14:textId="77777777" w:rsidR="00A50297" w:rsidRDefault="00A50297" w:rsidP="00A50297">
      <w:r>
        <w:t xml:space="preserve">              </w:t>
      </w:r>
    </w:p>
    <w:p w14:paraId="0D6C5F9A" w14:textId="77777777" w:rsidR="00A50297" w:rsidRDefault="00A50297" w:rsidP="00A50297">
      <w:r>
        <w:t>              - Klubber under 50 medlemmer sender 1 representant</w:t>
      </w:r>
    </w:p>
    <w:p w14:paraId="119C5729" w14:textId="77777777" w:rsidR="00A50297" w:rsidRDefault="00A50297" w:rsidP="00A50297">
      <w:r>
        <w:t>              - Klubber mellom 50 og 100 medlemmer sender 2 representanter</w:t>
      </w:r>
    </w:p>
    <w:p w14:paraId="35C88CEC" w14:textId="77777777" w:rsidR="00A50297" w:rsidRDefault="00A50297" w:rsidP="00A50297">
      <w:r>
        <w:t>              - Klubber over 100 medlemmer sender 3 representanter</w:t>
      </w:r>
    </w:p>
    <w:p w14:paraId="69D30915" w14:textId="77777777" w:rsidR="00A50297" w:rsidRDefault="00A50297" w:rsidP="00A50297"/>
    <w:p w14:paraId="6010522E" w14:textId="77777777" w:rsidR="00A50297" w:rsidRDefault="00A50297" w:rsidP="00A50297">
      <w:pPr>
        <w:ind w:firstLine="708"/>
      </w:pPr>
      <w:r>
        <w:t xml:space="preserve">- Kretsene sender 2 representanter. </w:t>
      </w:r>
    </w:p>
    <w:p w14:paraId="6D2D8999" w14:textId="77777777" w:rsidR="00A50297" w:rsidRDefault="00A50297" w:rsidP="00A50297"/>
    <w:p w14:paraId="07049916" w14:textId="77777777" w:rsidR="00A50297" w:rsidRDefault="00A50297" w:rsidP="00A50297">
      <w:r>
        <w:t>Ved representasjon på Forbundstinget vises det til NIFs Lov:</w:t>
      </w:r>
    </w:p>
    <w:p w14:paraId="5671A70D" w14:textId="77777777" w:rsidR="00A50297" w:rsidRDefault="00A50297" w:rsidP="00A50297"/>
    <w:p w14:paraId="61227131" w14:textId="77777777" w:rsidR="00A50297" w:rsidRDefault="00A50297" w:rsidP="00A50297">
      <w:r>
        <w:t xml:space="preserve">§ 2-4. Kjønnsfordeling </w:t>
      </w:r>
    </w:p>
    <w:p w14:paraId="015D4BFB" w14:textId="77777777" w:rsidR="00A50297" w:rsidRDefault="00A50297" w:rsidP="00A50297">
      <w:r>
        <w:t xml:space="preserve">(1) NIF og NIFs organisasjonsledd skal arbeide for en lik kjønnsfordeling ved valg/oppnevning til styrer, komiteer mv. og representasjon til årsmøter/ting. Ved valg/oppnevning av styre, råd, utvalg/komité mv. og ved representasjon til årsmøte/ting, skal begge kjønn være representert. Sammensetningen skal være forholdsmessig i forhold til kjønnsfordelingen i medlemsmassen, dog slik at det ved valg/oppnevning av mer enn tre personer skal velges/oppnevnes minst to personer fra hvert kjønn. Bestemmelsen gjelder også der det velges mer enn ett varamedlem. Ansattes representant teller ikke med ved beregningen av kjønnsfordelingen. </w:t>
      </w:r>
    </w:p>
    <w:p w14:paraId="7338943A" w14:textId="77777777" w:rsidR="00A50297" w:rsidRDefault="00A50297" w:rsidP="00A50297">
      <w:r>
        <w:t xml:space="preserve">(2) Ved valg/oppnevning til styrer, råd, utvalg/komité mv. i strid med bestemmelsen, skal styret innen 1 måned etter årsmøtet/ tinget sende ut innkalling til ekstraordinært årsmøte/ting der nytt valg foretas. Eksisterende medlemmer i det aktuelle styret, komiteen mv. blir sittende til nytt styre, komité mv. er valgt. </w:t>
      </w:r>
    </w:p>
    <w:p w14:paraId="5C9B702D" w14:textId="77777777" w:rsidR="00A50297" w:rsidRDefault="00A50297" w:rsidP="00A50297">
      <w:r>
        <w:t xml:space="preserve">(3) Ved representasjon må den delegasjon som møter oppfylle bestemmelsen, hvis ikke skal antallet representanter i den fremmøtte delegasjonen reduseres slik at den oppfyller bestemmelsen. Årsmøtet/tinget kan likevel godkjenne den fremmøtte delegasjonen dersom det foreligger uforutsette forhold utenfor organisasjonsleddets kontroll.  </w:t>
      </w:r>
    </w:p>
    <w:p w14:paraId="522B6482" w14:textId="77777777" w:rsidR="00A50297" w:rsidRDefault="00A50297" w:rsidP="00A50297">
      <w:r>
        <w:t xml:space="preserve">(4) Idrettsstyret kan pålegge organisasjonsledd å oppfylle bestemmelsen, herunder å innkalle til nytt årsmøte/ting, jf. § 2-3, eller foreta ny oppnevning. </w:t>
      </w:r>
    </w:p>
    <w:p w14:paraId="65BBBA39" w14:textId="77777777" w:rsidR="00A50297" w:rsidRDefault="00A50297" w:rsidP="00A50297">
      <w:r>
        <w:t xml:space="preserve">(5) Idrettsstyret kan, når det foreligger særlige forhold, gi dispensasjon fra denne bestemmelsen for et valg/oppnevning.   </w:t>
      </w:r>
    </w:p>
    <w:p w14:paraId="6DE4053B" w14:textId="77777777" w:rsidR="00A50297" w:rsidRDefault="00A50297" w:rsidP="00A50297">
      <w:pPr>
        <w:shd w:val="clear" w:color="auto" w:fill="FFFFFF"/>
        <w:spacing w:after="158" w:line="330" w:lineRule="atLeast"/>
        <w:rPr>
          <w:rFonts w:ascii="Arial" w:hAnsi="Arial" w:cs="Arial"/>
          <w:color w:val="333333"/>
          <w:sz w:val="20"/>
          <w:szCs w:val="20"/>
          <w:lang w:eastAsia="nb-NO"/>
        </w:rPr>
      </w:pPr>
    </w:p>
    <w:tbl>
      <w:tblPr>
        <w:tblW w:w="5000" w:type="pct"/>
        <w:tblCellMar>
          <w:left w:w="0" w:type="dxa"/>
          <w:right w:w="0" w:type="dxa"/>
        </w:tblCellMar>
        <w:tblLook w:val="04A0" w:firstRow="1" w:lastRow="0" w:firstColumn="1" w:lastColumn="0" w:noHBand="0" w:noVBand="1"/>
      </w:tblPr>
      <w:tblGrid>
        <w:gridCol w:w="8785"/>
        <w:gridCol w:w="287"/>
      </w:tblGrid>
      <w:tr w:rsidR="00A50297" w14:paraId="601593D1" w14:textId="77777777" w:rsidTr="00A50297">
        <w:tc>
          <w:tcPr>
            <w:tcW w:w="0" w:type="auto"/>
            <w:tcMar>
              <w:top w:w="15" w:type="dxa"/>
              <w:left w:w="15" w:type="dxa"/>
              <w:bottom w:w="15" w:type="dxa"/>
              <w:right w:w="15" w:type="dxa"/>
            </w:tcMar>
            <w:vAlign w:val="center"/>
            <w:hideMark/>
          </w:tcPr>
          <w:p w14:paraId="5FA9912F" w14:textId="77777777" w:rsidR="00A50297" w:rsidRDefault="00A50297">
            <w:pPr>
              <w:spacing w:line="252" w:lineRule="auto"/>
              <w:rPr>
                <w:color w:val="333333"/>
                <w:sz w:val="23"/>
                <w:szCs w:val="23"/>
                <w:u w:val="single"/>
              </w:rPr>
            </w:pPr>
            <w:r>
              <w:rPr>
                <w:color w:val="333333"/>
                <w:u w:val="single"/>
              </w:rPr>
              <w:t>Overnatting</w:t>
            </w:r>
          </w:p>
        </w:tc>
        <w:tc>
          <w:tcPr>
            <w:tcW w:w="0" w:type="auto"/>
            <w:tcMar>
              <w:top w:w="15" w:type="dxa"/>
              <w:left w:w="15" w:type="dxa"/>
              <w:bottom w:w="15" w:type="dxa"/>
              <w:right w:w="15" w:type="dxa"/>
            </w:tcMar>
            <w:vAlign w:val="center"/>
          </w:tcPr>
          <w:p w14:paraId="07338F85" w14:textId="77777777" w:rsidR="00A50297" w:rsidRDefault="00A50297">
            <w:pPr>
              <w:spacing w:line="252" w:lineRule="auto"/>
              <w:rPr>
                <w:rFonts w:ascii="Helvetica" w:hAnsi="Helvetica" w:cs="Helvetica"/>
                <w:color w:val="333333"/>
                <w:sz w:val="23"/>
                <w:szCs w:val="23"/>
              </w:rPr>
            </w:pPr>
          </w:p>
        </w:tc>
      </w:tr>
    </w:tbl>
    <w:p w14:paraId="36D4A31A" w14:textId="77777777" w:rsidR="00A50297" w:rsidRDefault="00A50297" w:rsidP="00A50297">
      <w:pPr>
        <w:shd w:val="clear" w:color="auto" w:fill="FFFFFF"/>
        <w:spacing w:line="330" w:lineRule="atLeast"/>
        <w:rPr>
          <w:rFonts w:ascii="Helvetica" w:hAnsi="Helvetica" w:cs="Helvetica"/>
          <w:color w:val="333333"/>
          <w:sz w:val="20"/>
          <w:szCs w:val="20"/>
          <w:lang w:eastAsia="nb-NO"/>
        </w:rPr>
      </w:pPr>
    </w:p>
    <w:tbl>
      <w:tblPr>
        <w:tblW w:w="5000" w:type="pct"/>
        <w:tblCellMar>
          <w:left w:w="0" w:type="dxa"/>
          <w:right w:w="0" w:type="dxa"/>
        </w:tblCellMar>
        <w:tblLook w:val="04A0" w:firstRow="1" w:lastRow="0" w:firstColumn="1" w:lastColumn="0" w:noHBand="0" w:noVBand="1"/>
      </w:tblPr>
      <w:tblGrid>
        <w:gridCol w:w="9036"/>
        <w:gridCol w:w="36"/>
      </w:tblGrid>
      <w:tr w:rsidR="00A50297" w14:paraId="2B36C2F0" w14:textId="77777777" w:rsidTr="00A50297">
        <w:tc>
          <w:tcPr>
            <w:tcW w:w="0" w:type="auto"/>
            <w:tcMar>
              <w:top w:w="15" w:type="dxa"/>
              <w:left w:w="15" w:type="dxa"/>
              <w:bottom w:w="15" w:type="dxa"/>
              <w:right w:w="15" w:type="dxa"/>
            </w:tcMar>
            <w:vAlign w:val="center"/>
          </w:tcPr>
          <w:tbl>
            <w:tblPr>
              <w:tblW w:w="5000" w:type="pct"/>
              <w:tblCellMar>
                <w:left w:w="0" w:type="dxa"/>
                <w:right w:w="0" w:type="dxa"/>
              </w:tblCellMar>
              <w:tblLook w:val="04A0" w:firstRow="1" w:lastRow="0" w:firstColumn="1" w:lastColumn="0" w:noHBand="0" w:noVBand="1"/>
            </w:tblPr>
            <w:tblGrid>
              <w:gridCol w:w="9006"/>
            </w:tblGrid>
            <w:tr w:rsidR="00A50297" w14:paraId="683CBE22" w14:textId="77777777">
              <w:tc>
                <w:tcPr>
                  <w:tcW w:w="0" w:type="auto"/>
                  <w:tcMar>
                    <w:top w:w="15" w:type="dxa"/>
                    <w:left w:w="15" w:type="dxa"/>
                    <w:bottom w:w="15" w:type="dxa"/>
                    <w:right w:w="15" w:type="dxa"/>
                  </w:tcMar>
                  <w:hideMark/>
                </w:tcPr>
                <w:p w14:paraId="1681DEAF" w14:textId="77777777" w:rsidR="00A50297" w:rsidRDefault="00A50297">
                  <w:pPr>
                    <w:spacing w:line="252" w:lineRule="auto"/>
                    <w:rPr>
                      <w:rFonts w:ascii="Arial" w:hAnsi="Arial" w:cs="Arial"/>
                    </w:rPr>
                  </w:pPr>
                  <w:r>
                    <w:t>Pensjonspris pr. person pr. døgn er for enkeltværelse med bad/dusj: kr. 1615.-</w:t>
                  </w:r>
                </w:p>
                <w:p w14:paraId="0F48A8EF" w14:textId="77777777" w:rsidR="00A50297" w:rsidRDefault="00A50297">
                  <w:pPr>
                    <w:spacing w:line="252" w:lineRule="auto"/>
                  </w:pPr>
                  <w:r>
                    <w:t>Pensjonspris pr. person pr. døgn i dobbeltværelse med bad/dusj: kr. 1217,50</w:t>
                  </w:r>
                </w:p>
                <w:p w14:paraId="718585A1" w14:textId="77777777" w:rsidR="00A50297" w:rsidRDefault="00A50297">
                  <w:pPr>
                    <w:spacing w:line="252" w:lineRule="auto"/>
                  </w:pPr>
                  <w:r>
                    <w:t>Prisen inkluderer middag lørdag, frokost og lunsjbord søndag.</w:t>
                  </w:r>
                </w:p>
                <w:p w14:paraId="2A646328" w14:textId="77777777" w:rsidR="00A50297" w:rsidRDefault="00A50297">
                  <w:pPr>
                    <w:spacing w:line="252" w:lineRule="auto"/>
                  </w:pPr>
                  <w:r>
                    <w:t xml:space="preserve">Obligatorisk </w:t>
                  </w:r>
                  <w:proofErr w:type="spellStart"/>
                  <w:r>
                    <w:t>dagpakke</w:t>
                  </w:r>
                  <w:proofErr w:type="spellEnd"/>
                  <w:r>
                    <w:t xml:space="preserve"> for de som ikke bor, men som deltar på Ledermøte/</w:t>
                  </w:r>
                  <w:proofErr w:type="spellStart"/>
                  <w:r>
                    <w:t>Forbundsting</w:t>
                  </w:r>
                  <w:proofErr w:type="spellEnd"/>
                  <w:r>
                    <w:t xml:space="preserve"> koster kr. 525.- pr. dag.</w:t>
                  </w:r>
                </w:p>
              </w:tc>
            </w:tr>
          </w:tbl>
          <w:p w14:paraId="7D571EED" w14:textId="77777777" w:rsidR="00A50297" w:rsidRDefault="00A50297">
            <w:pPr>
              <w:shd w:val="clear" w:color="auto" w:fill="FFFFFF"/>
              <w:spacing w:line="330" w:lineRule="atLeast"/>
              <w:rPr>
                <w:rFonts w:ascii="Helvetica" w:hAnsi="Helvetica" w:cs="Helvetica"/>
                <w:vanish/>
                <w:color w:val="333333"/>
                <w:sz w:val="20"/>
                <w:szCs w:val="20"/>
              </w:rPr>
            </w:pPr>
          </w:p>
          <w:tbl>
            <w:tblPr>
              <w:tblW w:w="5000" w:type="pct"/>
              <w:tblCellMar>
                <w:left w:w="0" w:type="dxa"/>
                <w:right w:w="0" w:type="dxa"/>
              </w:tblCellMar>
              <w:tblLook w:val="04A0" w:firstRow="1" w:lastRow="0" w:firstColumn="1" w:lastColumn="0" w:noHBand="0" w:noVBand="1"/>
            </w:tblPr>
            <w:tblGrid>
              <w:gridCol w:w="4503"/>
              <w:gridCol w:w="4503"/>
            </w:tblGrid>
            <w:tr w:rsidR="00A50297" w14:paraId="404A3542" w14:textId="77777777">
              <w:tc>
                <w:tcPr>
                  <w:tcW w:w="0" w:type="auto"/>
                  <w:tcMar>
                    <w:top w:w="15" w:type="dxa"/>
                    <w:left w:w="15" w:type="dxa"/>
                    <w:bottom w:w="15" w:type="dxa"/>
                    <w:right w:w="15" w:type="dxa"/>
                  </w:tcMar>
                  <w:vAlign w:val="center"/>
                </w:tcPr>
                <w:p w14:paraId="124A5E9D" w14:textId="77777777" w:rsidR="00A50297" w:rsidRDefault="00A50297">
                  <w:pPr>
                    <w:spacing w:line="252" w:lineRule="auto"/>
                    <w:rPr>
                      <w:rFonts w:ascii="Helvetica" w:hAnsi="Helvetica" w:cs="Helvetica"/>
                      <w:color w:val="333333"/>
                      <w:sz w:val="16"/>
                      <w:szCs w:val="16"/>
                    </w:rPr>
                  </w:pPr>
                </w:p>
              </w:tc>
              <w:tc>
                <w:tcPr>
                  <w:tcW w:w="0" w:type="auto"/>
                  <w:tcMar>
                    <w:top w:w="15" w:type="dxa"/>
                    <w:left w:w="15" w:type="dxa"/>
                    <w:bottom w:w="15" w:type="dxa"/>
                    <w:right w:w="15" w:type="dxa"/>
                  </w:tcMar>
                  <w:vAlign w:val="center"/>
                </w:tcPr>
                <w:p w14:paraId="4A1C71E5" w14:textId="77777777" w:rsidR="00A50297" w:rsidRDefault="00A50297">
                  <w:pPr>
                    <w:spacing w:line="252" w:lineRule="auto"/>
                    <w:rPr>
                      <w:rFonts w:ascii="Helvetica" w:hAnsi="Helvetica" w:cs="Helvetica"/>
                      <w:color w:val="333333"/>
                      <w:sz w:val="16"/>
                      <w:szCs w:val="16"/>
                    </w:rPr>
                  </w:pPr>
                </w:p>
              </w:tc>
            </w:tr>
            <w:tr w:rsidR="00A50297" w14:paraId="27F6FC41" w14:textId="77777777">
              <w:tc>
                <w:tcPr>
                  <w:tcW w:w="0" w:type="auto"/>
                  <w:tcMar>
                    <w:top w:w="15" w:type="dxa"/>
                    <w:left w:w="15" w:type="dxa"/>
                    <w:bottom w:w="15" w:type="dxa"/>
                    <w:right w:w="15" w:type="dxa"/>
                  </w:tcMar>
                  <w:vAlign w:val="center"/>
                </w:tcPr>
                <w:p w14:paraId="79EA015C" w14:textId="77777777" w:rsidR="00A50297" w:rsidRDefault="00A50297">
                  <w:pPr>
                    <w:spacing w:line="252" w:lineRule="auto"/>
                    <w:rPr>
                      <w:rFonts w:ascii="Helvetica" w:hAnsi="Helvetica" w:cs="Helvetica"/>
                      <w:color w:val="333333"/>
                      <w:sz w:val="16"/>
                      <w:szCs w:val="16"/>
                    </w:rPr>
                  </w:pPr>
                </w:p>
              </w:tc>
              <w:tc>
                <w:tcPr>
                  <w:tcW w:w="0" w:type="auto"/>
                  <w:tcMar>
                    <w:top w:w="15" w:type="dxa"/>
                    <w:left w:w="15" w:type="dxa"/>
                    <w:bottom w:w="15" w:type="dxa"/>
                    <w:right w:w="15" w:type="dxa"/>
                  </w:tcMar>
                  <w:vAlign w:val="center"/>
                </w:tcPr>
                <w:p w14:paraId="21432534" w14:textId="77777777" w:rsidR="00A50297" w:rsidRDefault="00A50297">
                  <w:pPr>
                    <w:spacing w:line="252" w:lineRule="auto"/>
                    <w:rPr>
                      <w:rFonts w:ascii="Helvetica" w:hAnsi="Helvetica" w:cs="Helvetica"/>
                      <w:color w:val="333333"/>
                      <w:sz w:val="16"/>
                      <w:szCs w:val="16"/>
                    </w:rPr>
                  </w:pPr>
                </w:p>
              </w:tc>
            </w:tr>
          </w:tbl>
          <w:p w14:paraId="49382493" w14:textId="77777777" w:rsidR="00A50297" w:rsidRDefault="00A50297">
            <w:pPr>
              <w:spacing w:line="252" w:lineRule="auto"/>
              <w:rPr>
                <w:sz w:val="20"/>
                <w:szCs w:val="20"/>
              </w:rPr>
            </w:pPr>
          </w:p>
          <w:p w14:paraId="09E008E0" w14:textId="77777777" w:rsidR="00A50297" w:rsidRDefault="00A50297">
            <w:pPr>
              <w:spacing w:line="252" w:lineRule="auto"/>
            </w:pPr>
            <w:r>
              <w:t>Ved Forbundstinget nyttes reiseutgiftsfordeling basert på rimeligste reisemåte.</w:t>
            </w:r>
          </w:p>
          <w:p w14:paraId="72C13B4F" w14:textId="77777777" w:rsidR="00A50297" w:rsidRDefault="00A50297">
            <w:pPr>
              <w:spacing w:line="252" w:lineRule="auto"/>
            </w:pPr>
          </w:p>
          <w:p w14:paraId="7A0D3FE7" w14:textId="77777777" w:rsidR="00A50297" w:rsidRDefault="00A50297">
            <w:pPr>
              <w:spacing w:line="252" w:lineRule="auto"/>
            </w:pPr>
            <w:r>
              <w:t>Vi håper at de aller fleste representanter finner anledning til å delta på Forbundstinget, og ber om en foreløpig påmelding senest 7. august.</w:t>
            </w:r>
          </w:p>
        </w:tc>
        <w:tc>
          <w:tcPr>
            <w:tcW w:w="0" w:type="auto"/>
            <w:tcMar>
              <w:top w:w="15" w:type="dxa"/>
              <w:left w:w="15" w:type="dxa"/>
              <w:bottom w:w="15" w:type="dxa"/>
              <w:right w:w="15" w:type="dxa"/>
            </w:tcMar>
            <w:vAlign w:val="center"/>
          </w:tcPr>
          <w:p w14:paraId="69598B02" w14:textId="77777777" w:rsidR="00A50297" w:rsidRDefault="00A50297">
            <w:pPr>
              <w:spacing w:line="252" w:lineRule="auto"/>
              <w:rPr>
                <w:rFonts w:ascii="Helvetica" w:hAnsi="Helvetica" w:cs="Helvetica"/>
                <w:color w:val="333333"/>
              </w:rPr>
            </w:pPr>
          </w:p>
        </w:tc>
      </w:tr>
      <w:tr w:rsidR="00A50297" w14:paraId="2EF58EFE" w14:textId="77777777" w:rsidTr="00A50297">
        <w:tc>
          <w:tcPr>
            <w:tcW w:w="0" w:type="auto"/>
            <w:tcMar>
              <w:top w:w="15" w:type="dxa"/>
              <w:left w:w="15" w:type="dxa"/>
              <w:bottom w:w="15" w:type="dxa"/>
              <w:right w:w="15" w:type="dxa"/>
            </w:tcMar>
            <w:vAlign w:val="center"/>
          </w:tcPr>
          <w:p w14:paraId="6EE14AA6" w14:textId="77777777" w:rsidR="00A50297" w:rsidRDefault="00A50297">
            <w:pPr>
              <w:spacing w:line="252" w:lineRule="auto"/>
              <w:rPr>
                <w:rFonts w:ascii="Helvetica" w:hAnsi="Helvetica" w:cs="Helvetica"/>
                <w:color w:val="333333"/>
                <w:sz w:val="23"/>
                <w:szCs w:val="23"/>
              </w:rPr>
            </w:pPr>
          </w:p>
        </w:tc>
        <w:tc>
          <w:tcPr>
            <w:tcW w:w="0" w:type="auto"/>
            <w:tcMar>
              <w:top w:w="15" w:type="dxa"/>
              <w:left w:w="15" w:type="dxa"/>
              <w:bottom w:w="15" w:type="dxa"/>
              <w:right w:w="15" w:type="dxa"/>
            </w:tcMar>
            <w:vAlign w:val="center"/>
          </w:tcPr>
          <w:p w14:paraId="53F9BDDC" w14:textId="77777777" w:rsidR="00A50297" w:rsidRDefault="00A50297">
            <w:pPr>
              <w:spacing w:line="252" w:lineRule="auto"/>
              <w:rPr>
                <w:rFonts w:ascii="Helvetica" w:hAnsi="Helvetica" w:cs="Helvetica"/>
                <w:color w:val="333333"/>
                <w:sz w:val="23"/>
                <w:szCs w:val="23"/>
              </w:rPr>
            </w:pPr>
          </w:p>
        </w:tc>
      </w:tr>
    </w:tbl>
    <w:p w14:paraId="1D7B7999" w14:textId="77777777" w:rsidR="00A50297" w:rsidRDefault="00A50297" w:rsidP="00A50297">
      <w:pPr>
        <w:rPr>
          <w:rFonts w:ascii="Arial" w:hAnsi="Arial" w:cs="Arial"/>
          <w:sz w:val="20"/>
          <w:szCs w:val="20"/>
          <w:lang w:eastAsia="nb-NO"/>
        </w:rPr>
      </w:pPr>
    </w:p>
    <w:p w14:paraId="24F49576" w14:textId="77777777" w:rsidR="00A50297" w:rsidRDefault="00A50297" w:rsidP="00A50297">
      <w:r>
        <w:t>P.S. Fredag ettermiddag (4. september) og lørdag formiddag (5. september), i forkant av Forbundstinget, vil det bli avholdt Ledermøte/seminar, med start fredag kl. 17.00.. (Samme priser som nevnt over for helpensjon). Se vedlagte program.</w:t>
      </w:r>
    </w:p>
    <w:p w14:paraId="56169028" w14:textId="77777777" w:rsidR="00A50297" w:rsidRDefault="00A50297" w:rsidP="00A50297"/>
    <w:p w14:paraId="3AA52287" w14:textId="77777777" w:rsidR="00A50297" w:rsidRDefault="00A50297" w:rsidP="00A50297">
      <w:r>
        <w:t xml:space="preserve">Innkallingen legges også ut på vår hjemmeside: </w:t>
      </w:r>
      <w:hyperlink r:id="rId7" w:history="1">
        <w:r>
          <w:rPr>
            <w:rStyle w:val="Hyperkobling"/>
          </w:rPr>
          <w:t>www.badminton.no</w:t>
        </w:r>
      </w:hyperlink>
    </w:p>
    <w:p w14:paraId="6C2A6045" w14:textId="77777777" w:rsidR="00A50297" w:rsidRDefault="00A50297" w:rsidP="00A50297"/>
    <w:p w14:paraId="30BC1EFE" w14:textId="77777777" w:rsidR="00A50297" w:rsidRPr="00A50297" w:rsidRDefault="00A50297" w:rsidP="00A50297">
      <w:pPr>
        <w:rPr>
          <w:b/>
          <w:bCs/>
        </w:rPr>
      </w:pPr>
      <w:r>
        <w:rPr>
          <w:b/>
          <w:bCs/>
        </w:rPr>
        <w:t>Påmeldingsfrist er 25. august og navn på deltakere, samt bestilling av overnatting sendes: badminton@badminton.no</w:t>
      </w:r>
      <w:bookmarkStart w:id="0" w:name="_GoBack"/>
      <w:bookmarkEnd w:id="0"/>
    </w:p>
    <w:p w14:paraId="3BFDCDB7" w14:textId="77777777" w:rsidR="00A50297" w:rsidRDefault="00A50297" w:rsidP="00A50297"/>
    <w:p w14:paraId="12C9BE59" w14:textId="77777777" w:rsidR="00A50297" w:rsidRDefault="00A50297" w:rsidP="00A50297">
      <w:pPr>
        <w:rPr>
          <w:b/>
          <w:bCs/>
          <w:sz w:val="24"/>
          <w:szCs w:val="24"/>
        </w:rPr>
      </w:pPr>
      <w:r>
        <w:rPr>
          <w:b/>
          <w:bCs/>
          <w:sz w:val="24"/>
          <w:szCs w:val="24"/>
        </w:rPr>
        <w:t>Velkommen til Forbundstinget 2020.</w:t>
      </w:r>
    </w:p>
    <w:p w14:paraId="60982024" w14:textId="77777777" w:rsidR="00A50297" w:rsidRDefault="00A50297" w:rsidP="00A50297">
      <w:pPr>
        <w:rPr>
          <w:b/>
          <w:bCs/>
          <w:sz w:val="24"/>
          <w:szCs w:val="24"/>
        </w:rPr>
      </w:pPr>
    </w:p>
    <w:p w14:paraId="4715EDAE" w14:textId="77777777" w:rsidR="00A50297" w:rsidRDefault="00A50297" w:rsidP="00A50297">
      <w:pPr>
        <w:rPr>
          <w:sz w:val="20"/>
          <w:szCs w:val="20"/>
        </w:rPr>
      </w:pPr>
      <w:r>
        <w:rPr>
          <w:b/>
          <w:bCs/>
          <w:sz w:val="24"/>
          <w:szCs w:val="24"/>
        </w:rPr>
        <w:t>Hilsen Styret</w:t>
      </w:r>
      <w:r>
        <w:t xml:space="preserve"> </w:t>
      </w:r>
    </w:p>
    <w:p w14:paraId="2F4BF591" w14:textId="77777777" w:rsidR="00A50297" w:rsidRDefault="00A50297" w:rsidP="00A50297"/>
    <w:p w14:paraId="10188ED9" w14:textId="77777777" w:rsidR="00A50297" w:rsidRDefault="00A50297" w:rsidP="00A50297"/>
    <w:p w14:paraId="192CE623" w14:textId="77777777" w:rsidR="001A6915" w:rsidRDefault="001A6915"/>
    <w:sectPr w:rsidR="001A69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297"/>
    <w:rsid w:val="001A6915"/>
    <w:rsid w:val="00A502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DA6C4"/>
  <w15:chartTrackingRefBased/>
  <w15:docId w15:val="{666710CE-3823-4163-BF15-D68F6ECF9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297"/>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A5029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0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badminton.n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792B4B9C90524EA03D0CC11B21F41A" ma:contentTypeVersion="12" ma:contentTypeDescription="Opprett et nytt dokument." ma:contentTypeScope="" ma:versionID="60f9a54fdfc2721163c774fd5ee290e3">
  <xsd:schema xmlns:xsd="http://www.w3.org/2001/XMLSchema" xmlns:xs="http://www.w3.org/2001/XMLSchema" xmlns:p="http://schemas.microsoft.com/office/2006/metadata/properties" xmlns:ns2="bb7d71be-e8b0-42e3-9baf-e1e0d3c39e07" xmlns:ns3="8e22aee7-d30f-47ea-947e-3788f2048781" targetNamespace="http://schemas.microsoft.com/office/2006/metadata/properties" ma:root="true" ma:fieldsID="dc2ebaf93956e883a802e87f6bf326b3" ns2:_="" ns3:_="">
    <xsd:import namespace="bb7d71be-e8b0-42e3-9baf-e1e0d3c39e07"/>
    <xsd:import namespace="8e22aee7-d30f-47ea-947e-3788f20487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d71be-e8b0-42e3-9baf-e1e0d3c39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22aee7-d30f-47ea-947e-3788f2048781"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F9EA2A-A9F8-4B6D-87AB-848C62362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d71be-e8b0-42e3-9baf-e1e0d3c39e07"/>
    <ds:schemaRef ds:uri="8e22aee7-d30f-47ea-947e-3788f20487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9DD029-26E6-4E2D-BCB7-CD9C9740E4E0}">
  <ds:schemaRefs>
    <ds:schemaRef ds:uri="http://schemas.microsoft.com/sharepoint/v3/contenttype/forms"/>
  </ds:schemaRefs>
</ds:datastoreItem>
</file>

<file path=customXml/itemProps3.xml><?xml version="1.0" encoding="utf-8"?>
<ds:datastoreItem xmlns:ds="http://schemas.openxmlformats.org/officeDocument/2006/customXml" ds:itemID="{A171B3FC-15C2-4975-A668-D1E6AC3D97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685</Words>
  <Characters>3633</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Larsen, Espen</dc:creator>
  <cp:keywords/>
  <dc:description/>
  <cp:lastModifiedBy>Larsen, Espen</cp:lastModifiedBy>
  <cp:revision>1</cp:revision>
  <dcterms:created xsi:type="dcterms:W3CDTF">2020-08-14T10:06:00Z</dcterms:created>
  <dcterms:modified xsi:type="dcterms:W3CDTF">2020-08-14T10:14:00Z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0x0101008F792B4B9C90524EA03D0CC11B21F41A</vt:lpwstr>
  </property>
</Properties>
</file>